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4C" w:rsidRPr="00D34B4C" w:rsidRDefault="00D34B4C" w:rsidP="00D34B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uk-UA"/>
        </w:rPr>
      </w:pPr>
      <w:r w:rsidRPr="00D34B4C">
        <w:rPr>
          <w:b/>
          <w:sz w:val="28"/>
          <w:szCs w:val="28"/>
          <w:lang w:val="uk-UA"/>
        </w:rPr>
        <w:t>Методичні рекомендації щодо професійної орієнтації учнівської молоді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Метою професійної орієнтації учнівської молоді на вибір конкурентоспроможної на ринку праці професії та спеціальності є: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- формування у школярів ставлення до себе, суспільства і професійної діяльності, сприяння специфічними методами професійному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- визначенню учня, виборі професії та спеціальності, яка в подальшому забезпечить його працевлаштування та сприятиме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- підвищенню конкурентоспроможності на ринку праці.</w:t>
      </w:r>
    </w:p>
    <w:p w:rsid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Основними завданнями професійної орієнтації учнівської молоді на здобуття робітничих професій та спеціальностей є: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1. Сприяння гармонійному розвитку особи, оптимізації процесу її соціально-професійного становлення.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 xml:space="preserve">2. Формування вміння </w:t>
      </w:r>
      <w:proofErr w:type="spellStart"/>
      <w:r w:rsidRPr="00D34B4C">
        <w:rPr>
          <w:sz w:val="28"/>
          <w:szCs w:val="28"/>
          <w:lang w:val="uk-UA"/>
        </w:rPr>
        <w:t>співставляти</w:t>
      </w:r>
      <w:proofErr w:type="spellEnd"/>
      <w:r w:rsidRPr="00D34B4C">
        <w:rPr>
          <w:sz w:val="28"/>
          <w:szCs w:val="28"/>
          <w:lang w:val="uk-UA"/>
        </w:rPr>
        <w:t xml:space="preserve"> свої здібності із вимогами, необхідними для набуття професії або спеціальності, забезпечення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розвитку професійно-важливих якостей особистості.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3. Виховання у молоді спрямованості на самопізнання і власну активність як основу професійного самовизначення.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4. Системне ознайомлення учнів випускних класів зі світом професій, проведення інформаційно-роз'яснювальної роботи щодо свідомого вибору професії, яка відповідає потребам та вимогам роботодавців.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5. Постійне інформування учнів про реальну потребу на ринку праці.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6. Комплексний підхід до організації профорієнтаційної роботи з учнями випускних класів загальноосвітніх шкіл з метою складання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реального плану оволодіння професією чи спеціальністю з урахуванням потреб ринку праці.</w:t>
      </w:r>
    </w:p>
    <w:p w:rsidR="00D34B4C" w:rsidRDefault="00D34B4C" w:rsidP="00D34B4C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  <w:lang w:val="uk-UA"/>
        </w:rPr>
      </w:pP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  <w:lang w:val="uk-UA"/>
        </w:rPr>
      </w:pPr>
      <w:r w:rsidRPr="00D34B4C">
        <w:rPr>
          <w:b/>
          <w:bCs/>
          <w:i/>
          <w:sz w:val="28"/>
          <w:szCs w:val="28"/>
          <w:lang w:val="uk-UA"/>
        </w:rPr>
        <w:t xml:space="preserve">Напрями та форми професійної орієнтації учнівської молоді </w:t>
      </w:r>
      <w:r w:rsidRPr="00D34B4C">
        <w:rPr>
          <w:b/>
          <w:i/>
          <w:sz w:val="28"/>
          <w:szCs w:val="28"/>
          <w:lang w:val="uk-UA"/>
        </w:rPr>
        <w:t xml:space="preserve">на </w:t>
      </w:r>
      <w:r w:rsidRPr="00D34B4C">
        <w:rPr>
          <w:b/>
          <w:bCs/>
          <w:i/>
          <w:sz w:val="28"/>
          <w:szCs w:val="28"/>
          <w:lang w:val="uk-UA"/>
        </w:rPr>
        <w:t>здобуття робітничих професій, спеціальностей та підняття їх престижу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1. Інформаційно-роз'яснювальна робота: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видавнича діяльність (видання брошур, буклетів, проспектів, листівок, барометрів професій тощо для забезпечення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інформаційного простору закладів освіти та центрів зайнятості);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інформаційно-просвітницькі заходи (ярмарки вакансій, ярмарки професій, дні кар'єри, дні відкритих дверей, презентації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професій, профорієнтаційні зустрічі);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інформаційно-рекламна діяльність (створення інформаційних передач на радіо та телебаченні, розміщення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 xml:space="preserve">інформаційних матеріалів у друкованих засобах масової інформації, створення </w:t>
      </w:r>
      <w:proofErr w:type="spellStart"/>
      <w:r w:rsidRPr="00D34B4C">
        <w:rPr>
          <w:sz w:val="28"/>
          <w:szCs w:val="28"/>
          <w:lang w:val="uk-UA"/>
        </w:rPr>
        <w:t>профінформаційних</w:t>
      </w:r>
      <w:proofErr w:type="spellEnd"/>
      <w:r w:rsidRPr="00D34B4C">
        <w:rPr>
          <w:sz w:val="28"/>
          <w:szCs w:val="28"/>
          <w:lang w:val="uk-UA"/>
        </w:rPr>
        <w:t xml:space="preserve"> стендів у школах);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lastRenderedPageBreak/>
        <w:t>інформування учнів випускних класів про потребу в кадрах на ринку праці з використанням Інтернет - куточків базових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центрів зайнятості (отримання інформації про наявність в регіоні та в Україні вільних робочих місць та вакантних посад,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пропозицію робочої сили, інформування про законодавство з питань зайнятості та загальнообов'язкового державного соціального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страхування і послуги державної служби зайнятості з використанням Інтернет порталу служби зайнятості);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ознайомлення з робітничими професіями, презентації виробів учнів ПТНЗ тощо;</w:t>
      </w:r>
    </w:p>
    <w:p w:rsidR="00D34B4C" w:rsidRPr="00D34B4C" w:rsidRDefault="00D34B4C" w:rsidP="00D34B4C">
      <w:pPr>
        <w:numPr>
          <w:ilvl w:val="0"/>
          <w:numId w:val="1"/>
        </w:numPr>
        <w:tabs>
          <w:tab w:val="clear" w:pos="1440"/>
          <w:tab w:val="num" w:pos="-34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 xml:space="preserve">ознайомлення з характером та умовами виробництва на </w:t>
      </w:r>
      <w:proofErr w:type="spellStart"/>
      <w:r w:rsidRPr="00D34B4C">
        <w:rPr>
          <w:sz w:val="28"/>
          <w:szCs w:val="28"/>
          <w:lang w:val="uk-UA"/>
        </w:rPr>
        <w:t>ринкоутвоюючих</w:t>
      </w:r>
      <w:proofErr w:type="spellEnd"/>
      <w:r w:rsidRPr="00D34B4C">
        <w:rPr>
          <w:sz w:val="28"/>
          <w:szCs w:val="28"/>
          <w:lang w:val="uk-UA"/>
        </w:rPr>
        <w:t xml:space="preserve"> підприємствах регіону (екскурсії, зустрічі з наставниками, демонстрація досягнень висококваліфікованих працівників, конкурси майстерності тощо).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>2. Проведення соціологічного опитування учнів шкіл з метою визначення їх професійних намірів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 xml:space="preserve">3. </w:t>
      </w:r>
      <w:proofErr w:type="spellStart"/>
      <w:r w:rsidRPr="00D34B4C">
        <w:rPr>
          <w:sz w:val="28"/>
          <w:szCs w:val="28"/>
          <w:lang w:val="uk-UA"/>
        </w:rPr>
        <w:t>Профдіагностичне</w:t>
      </w:r>
      <w:proofErr w:type="spellEnd"/>
      <w:r w:rsidRPr="00D34B4C">
        <w:rPr>
          <w:sz w:val="28"/>
          <w:szCs w:val="28"/>
          <w:lang w:val="uk-UA"/>
        </w:rPr>
        <w:t xml:space="preserve"> обстеження з використанням комп'ютерних та бланкових методик.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 xml:space="preserve">4. </w:t>
      </w:r>
      <w:proofErr w:type="spellStart"/>
      <w:r w:rsidRPr="00D34B4C">
        <w:rPr>
          <w:sz w:val="28"/>
          <w:szCs w:val="28"/>
          <w:lang w:val="uk-UA"/>
        </w:rPr>
        <w:t>Профконсультаційна</w:t>
      </w:r>
      <w:proofErr w:type="spellEnd"/>
      <w:r w:rsidRPr="00D34B4C">
        <w:rPr>
          <w:sz w:val="28"/>
          <w:szCs w:val="28"/>
          <w:lang w:val="uk-UA"/>
        </w:rPr>
        <w:t xml:space="preserve"> допомога молодій людині в усвідомленому виборі майбутньої професії, формуванні особистого професійного плану з урахуванням індивідуальних психологічних характеристик, особливостей життєвої ситуації, професійних інтересів, нахилів, здібностей, стану здоров'я та попиту ринку праці.</w:t>
      </w:r>
    </w:p>
    <w:p w:rsidR="00D34B4C" w:rsidRPr="00D34B4C" w:rsidRDefault="00D34B4C" w:rsidP="00D34B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D34B4C">
        <w:rPr>
          <w:sz w:val="28"/>
          <w:szCs w:val="28"/>
          <w:lang w:val="uk-UA"/>
        </w:rPr>
        <w:t xml:space="preserve">Науково-методичне забезпечення профорієнтаційної роботи в закладах освіти здійснюється Міністерством освіти і науки та Академію педагогічних наук України. Відповідальність за організацію та проведення профорієнтаційної роботи в закладах освіти покладається на керівників даних закладів. </w:t>
      </w:r>
    </w:p>
    <w:p w:rsidR="008F2D92" w:rsidRPr="00D34B4C" w:rsidRDefault="008F2D92">
      <w:pPr>
        <w:rPr>
          <w:lang w:val="uk-UA"/>
        </w:rPr>
      </w:pPr>
    </w:p>
    <w:sectPr w:rsidR="008F2D92" w:rsidRPr="00D34B4C" w:rsidSect="008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3344"/>
    <w:multiLevelType w:val="hybridMultilevel"/>
    <w:tmpl w:val="F732D6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4C"/>
    <w:rsid w:val="008F2D92"/>
    <w:rsid w:val="00D3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>Krokoz™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2014-03-28T20:20:00Z</dcterms:created>
  <dcterms:modified xsi:type="dcterms:W3CDTF">2014-03-28T20:21:00Z</dcterms:modified>
</cp:coreProperties>
</file>